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智慧帳戶的跨鏈難題：地址、簽章與應用相容性</w:t>
      </w:r>
    </w:p>
    <w:p>
      <w:pPr>
        <w:widowControl/>
        <w:spacing w:after="160" w:line="320"/>
      </w:pPr>
      <w:r>
        <w:t xml:space="preserve">Smart Accounts in Production: What We Learned the Hard Way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pgtclv7mp43e0e61v5_e">
        <w:r>
          <w:rPr>
            <w:rStyle w:val="Hyperlink"/>
          </w:rPr>
          <w:t xml:space="preserve">Ulaş Erdoğan</w:t>
        </w:r>
      </w:hyperlink>
    </w:p>
    <w:p>
      <w:pPr>
        <w:widowControl/>
        <w:spacing w:after="160" w:line="320"/>
      </w:pPr>
      <w:hyperlink w:history="1" r:id="rId_kc1nw5wznotr3iet2v6a">
        <w:r>
          <w:rPr>
            <w:rStyle w:val="Hyperlink"/>
          </w:rPr>
          <w:t xml:space="preserve">Alim Şahin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Ulaş Erdoğan 與 Alim Şahin 分享智慧帳戶的實作經驗：在單一鏈、單一應用內，通行密鑰開通、批次交易與交易費用代付已有良好效果；但要成為跨鏈、通用的錢包，仍有相容性障礙。團隊曾遇到不同鏈的帳戶地址不一致，甚至有使用者因此轉錯地址；各鏈對簽章驗證的支援差異，也會影響使用成本。
團隊也嘗試整合跨鏈餘額，讓使用者不必自行分配各鏈資金，但外部應用若只讀取單鏈餘額，仍可能阻擋操作。部分應用不支援智慧合約簽章驗證，也限制了錢包用途。問答中，講者建議將暫時授權用的金鑰限制在特定功能與支出額度，而非只限定合約地址；整體而言，標準存在不等於各鏈與應用已採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bkatm4ljqfze7l5y8fe7">
        <w:r>
          <w:rPr>
            <w:rStyle w:val="Hyperlink"/>
          </w:rPr>
          <w:t xml:space="preserve">[05:00]</w:t>
        </w:r>
      </w:hyperlink>
      <w:r>
        <w:t xml:space="preserve"> 單鏈、單應用是團隊認為運作較順暢的情境
講者表示，將智慧帳戶嵌入應用，可讓使用者以通行密鑰開通，並在帳戶合約部署前收款。批次交易可將多個操作合併為一次簽署，交易費用代付則減少使用者先準備以太幣的需求。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87elspiwo1ljzgkjykio">
        <w:r>
          <w:rPr>
            <w:rStyle w:val="Hyperlink"/>
          </w:rPr>
          <w:t xml:space="preserve">[11:20]</w:t>
        </w:r>
      </w:hyperlink>
      <w:r>
        <w:t xml:space="preserve"> 不同鏈的部署方式可能造成帳戶地址不一致
講者說明，智慧帳戶地址會受部署合約、程式碼與部署方式影響。團隊在 zkSync Era 的實作便遇到與其他鏈地址不同的情況，並表示曾有使用者因此在不同鏈轉錯地址。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2cfe5cgw0uv4vfz742d7">
        <w:r>
          <w:rPr>
            <w:rStyle w:val="Hyperlink"/>
          </w:rPr>
          <w:t xml:space="preserve">[14:00]</w:t>
        </w:r>
      </w:hyperlink>
      <w:r>
        <w:t xml:space="preserve"> 通行密鑰的驗證成本仍受各鏈支援程度影響
講者回顧，鏈上若缺少對 P-256 的原生支援，驗證這類通行密鑰簽章的費用可能很高。即使改用智慧合約驗證，也不代表自訂簽章方式能在各鏈有一致表現。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lilvcxktrdtdtqkkodod">
        <w:r>
          <w:rPr>
            <w:rStyle w:val="Hyperlink"/>
          </w:rPr>
          <w:t xml:space="preserve">[15:20]</w:t>
        </w:r>
      </w:hyperlink>
      <w:r>
        <w:t xml:space="preserve"> 外部應用未必能辨識跨鏈餘額或合約簽章
團隊讓使用者能動用分散在不同鏈的資金，但講者指出，外部應用若只讀取單鏈餘額，仍可能阻擋操作。他也表示，部分應用未支援智慧合約簽章驗證標準 ERC-1271，限制了錢包的適用範圍。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eaam5dvh5-bxzquxkpzq">
        <w:r>
          <w:rPr>
            <w:rStyle w:val="Hyperlink"/>
          </w:rPr>
          <w:t xml:space="preserve">[21:20]</w:t>
        </w:r>
      </w:hyperlink>
      <w:r>
        <w:t xml:space="preserve"> 暫時授權用的金鑰應限制功能與支出額度
針對工作階段金鑰，講者表示團隊通常同時限定可執行的功能與支出上限，而非只限定可互動的合約地址。因為許多合約可以升級，未來行為未必可預期，因此授權範圍應盡可能縮小。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_mldncn4qrptd_cmj-nj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jslyanlrfhuyd_rojoc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pgtclv7mp43e0e61v5_e" Type="http://schemas.openxmlformats.org/officeDocument/2006/relationships/hyperlink" Target="https://feeds.blocktrend.today/events/speakers/ulas-erdogan/" TargetMode="External"/><Relationship Id="rId_kc1nw5wznotr3iet2v6a" Type="http://schemas.openxmlformats.org/officeDocument/2006/relationships/hyperlink" Target="https://feeds.blocktrend.today/events/speakers/alim-sahin/" TargetMode="External"/><Relationship Id="rIdybkatm4ljqfze7l5y8fe7" Type="http://schemas.openxmlformats.org/officeDocument/2006/relationships/hyperlink" Target="https://www.youtube.com/watch?v=p5d_xj57S5M&amp;t=300s" TargetMode="External"/><Relationship Id="rIde87elspiwo1ljzgkjykio" Type="http://schemas.openxmlformats.org/officeDocument/2006/relationships/hyperlink" Target="https://www.youtube.com/watch?v=p5d_xj57S5M&amp;t=680s" TargetMode="External"/><Relationship Id="rIdj2cfe5cgw0uv4vfz742d7" Type="http://schemas.openxmlformats.org/officeDocument/2006/relationships/hyperlink" Target="https://www.youtube.com/watch?v=p5d_xj57S5M&amp;t=840s" TargetMode="External"/><Relationship Id="rIdqlilvcxktrdtdtqkkodod" Type="http://schemas.openxmlformats.org/officeDocument/2006/relationships/hyperlink" Target="https://www.youtube.com/watch?v=p5d_xj57S5M&amp;t=920s" TargetMode="External"/><Relationship Id="rIdyeaam5dvh5-bxzquxkpzq" Type="http://schemas.openxmlformats.org/officeDocument/2006/relationships/hyperlink" Target="https://www.youtube.com/watch?v=p5d_xj57S5M&amp;t=1280s" TargetMode="External"/><Relationship Id="rId_mldncn4qrptd_cmj-njt" Type="http://schemas.openxmlformats.org/officeDocument/2006/relationships/hyperlink" Target="https://www.youtube.com/watch?v=p5d_xj57S5M" TargetMode="External"/><Relationship Id="rIdtjslyanlrfhuyd_rojocs" Type="http://schemas.openxmlformats.org/officeDocument/2006/relationships/hyperlink" Target="https://feeds.blocktrend.today/events/devcon-8-india-2026/smart-accounts-in-production-what-we-learned-the-hard-way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智慧帳戶的跨鏈難題：地址、簽章與應用相容性</dc:title>
  <dc:creator>新鮮勢</dc:creator>
  <dc:description>峰會摘要匯出版本 2026-10-15</dc:description>
  <cp:lastModifiedBy>Un-named</cp:lastModifiedBy>
  <cp:revision>1</cp:revision>
  <dcterms:created xsi:type="dcterms:W3CDTF">2026-11-05T19:10:51.759Z</dcterms:created>
  <dcterms:modified xsi:type="dcterms:W3CDTF">2026-11-05T19:10:51.759Z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