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Prop AMM 可動態改價，講者建議逐段限制滑價風險</w:t>
      </w:r>
    </w:p>
    <w:p>
      <w:pPr>
        <w:widowControl/>
        <w:spacing w:after="160" w:line="320"/>
      </w:pPr>
      <w:r>
        <w:t xml:space="preserve">PropAMMs: the good and the bad, and how to keep trustless infrastructure competitive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dnwe4eqpfw210ob2gzie">
        <w:r>
          <w:rPr>
            <w:rStyle w:val="Hyperlink"/>
          </w:rPr>
          <w:t xml:space="preserve">Ariah Klages-Mundt</w:t>
        </w:r>
      </w:hyperlink>
    </w:p>
    <w:p>
      <w:pPr>
        <w:widowControl/>
        <w:spacing w:after="160" w:line="320"/>
      </w:pPr>
      <w:hyperlink w:history="1" r:id="rIdk3qo6l9rfd50nhzen7vav">
        <w:r>
          <w:rPr>
            <w:rStyle w:val="Hyperlink"/>
          </w:rPr>
          <w:t xml:space="preserve">Tammy Yang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自營自動造市商（Prop AMM）能在交易執行前更新資訊，並動態決定價格與費用。講者指出，這可減少過時報價被套利的損失，讓買賣價差縮小；但同樣的權限也能用來先報好價吸引交易，再以較差價格成交。交易聚合器若只檢查整筆交易的滑價，小額分流就可能耗盡整筆交易容許的價格偏差。
兩位講者以造市模型、聚合器控制實驗及鏈上案例分析這種分流榨取。他們表示，受測路徑只要總輸出達標，就容許單一路段大幅偏離報價，因此建議逐段設定限制，超標即取消交易。單靠資金池審核仍有侷限，營運者可另建合約或改參數；外部流動性提供者也須承擔營運者的定價與運作風險，更完整的防護仍有待建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lf79oy4qh8kvzvhe7dge">
        <w:r>
          <w:rPr>
            <w:rStyle w:val="Hyperlink"/>
          </w:rPr>
          <w:t xml:space="preserve">[01:20]</w:t>
        </w:r>
      </w:hyperlink>
      <w:r>
        <w:t xml:space="preserve"> 動態定價既能改善效率，也可能被濫用
講者說，Prop AMM 可在執行時讀取新資訊，重新決定價格、費用與交易對象。移除過時報價能減少流動性提供者被套利的損失，但同一套能力也可能被用來先吸引交易，再改以不利價格成交；並非所有 Prop AMM 都採取這種做法。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f_qnvwuildkm2uxz4zvi">
        <w:r>
          <w:rPr>
            <w:rStyle w:val="Hyperlink"/>
          </w:rPr>
          <w:t xml:space="preserve">[08:20]</w:t>
        </w:r>
      </w:hyperlink>
      <w:r>
        <w:t xml:space="preserve"> 小額分流也可能耗盡整筆交易的滑價額度
講者以假設案例說明：整筆預期輸出為一萬美元、容許百分之一滑價，其中百分之二分給投機資金池。該池即使將原報價兩百美元的輸出減為一百美元，總輸出仍達九千九百美元，通過整筆交易的最低門檻；這不只是滑價設定太寬的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bwzork5zgsnc-zifsldq">
        <w:r>
          <w:rPr>
            <w:rStyle w:val="Hyperlink"/>
          </w:rPr>
          <w:t xml:space="preserve">[13:00]</w:t>
        </w:r>
      </w:hyperlink>
      <w:r>
        <w:t xml:space="preserve"> 總額檢查未必能保護每一段成交
講者表示，控制實驗中的受測路徑只要總輸出達標，就容許測試用分流消耗整筆滑價額度。他們也指出，資金池可能透過動態費用或價格更新，讓成交價劣於報價；部分報價模擬的交易來源地址與交易手續費單價，則可能被用來辨識模擬與實際執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kjwj_zp3beqxfkmyodhg">
        <w:r>
          <w:rPr>
            <w:rStyle w:val="Hyperlink"/>
          </w:rPr>
          <w:t xml:space="preserve">[19:20]</w:t>
        </w:r>
      </w:hyperlink>
      <w:r>
        <w:t xml:space="preserve"> 逐段設定限制是講者提出的防護方向
講者建議，負責分配交易路徑的程式不應只檢查整筆滑價，也應為每段設定容許額，超標就取消交易。審核資金池與設置觀察期可作輔助，但營運者容易另建合約或更改參數，難以單靠審核防堵；取消交易也會增加使用上的不便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cgsfaaqu79w8e0eqri3c">
        <w:r>
          <w:rPr>
            <w:rStyle w:val="Hyperlink"/>
          </w:rPr>
          <w:t xml:space="preserve">[20:00]</w:t>
        </w:r>
      </w:hyperlink>
      <w:r>
        <w:t xml:space="preserve"> 外部流動性提供者仍須承擔營運者風險
講者提醒，只有部分 Prop AMM 開放外部流動性提供者參與，而參與者須信任營運者的定價與持續運作。惡意行為或營運中斷都可能造成損失，不能直接視同一般非託管資金池；講者認為，更有防護限制的基礎設施原則上可行，但當時尚未具備。</w:t>
      </w:r>
    </w:p>
    <w:p>
      <w:pPr>
        <w:widowControl/>
        <w:spacing w:after="160" w:line="320"/>
      </w:pPr>
      <w:r>
        <w:t xml:space="preserve">金融應用與預測市場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5xzzvhrsxcrqcfwruina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fclnfs2qdxrhoezduhv6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dnwe4eqpfw210ob2gzie" Type="http://schemas.openxmlformats.org/officeDocument/2006/relationships/hyperlink" Target="https://feeds.blocktrend.today/events/speakers/ariah-klages-mundt/" TargetMode="External"/><Relationship Id="rIdk3qo6l9rfd50nhzen7vav" Type="http://schemas.openxmlformats.org/officeDocument/2006/relationships/hyperlink" Target="https://feeds.blocktrend.today/events/speakers/tammy-yang/" TargetMode="External"/><Relationship Id="rIdnlf79oy4qh8kvzvhe7dge" Type="http://schemas.openxmlformats.org/officeDocument/2006/relationships/hyperlink" Target="https://www.youtube.com/watch?v=I33wLerOarU&amp;t=80s" TargetMode="External"/><Relationship Id="rIdxf_qnvwuildkm2uxz4zvi" Type="http://schemas.openxmlformats.org/officeDocument/2006/relationships/hyperlink" Target="https://www.youtube.com/watch?v=I33wLerOarU&amp;t=500s" TargetMode="External"/><Relationship Id="rIdlbwzork5zgsnc-zifsldq" Type="http://schemas.openxmlformats.org/officeDocument/2006/relationships/hyperlink" Target="https://www.youtube.com/watch?v=I33wLerOarU&amp;t=780s" TargetMode="External"/><Relationship Id="rIdvkjwj_zp3beqxfkmyodhg" Type="http://schemas.openxmlformats.org/officeDocument/2006/relationships/hyperlink" Target="https://www.youtube.com/watch?v=I33wLerOarU&amp;t=1160s" TargetMode="External"/><Relationship Id="rIdqcgsfaaqu79w8e0eqri3c" Type="http://schemas.openxmlformats.org/officeDocument/2006/relationships/hyperlink" Target="https://www.youtube.com/watch?v=I33wLerOarU&amp;t=1200s" TargetMode="External"/><Relationship Id="rIdo5xzzvhrsxcrqcfwruina" Type="http://schemas.openxmlformats.org/officeDocument/2006/relationships/hyperlink" Target="https://www.youtube.com/watch?v=I33wLerOarU" TargetMode="External"/><Relationship Id="rIdsfclnfs2qdxrhoezduhv6" Type="http://schemas.openxmlformats.org/officeDocument/2006/relationships/hyperlink" Target="https://feeds.blocktrend.today/events/devcon-8-india-2026/propamms-the-good-and-the-bad-and-how-to-keep-trustless-infrastructure-competitiv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 AMM 可動態改價，講者建議逐段限制滑價風險</dc:title>
  <dc:creator>新鮮勢</dc:creator>
  <dc:description>峰會摘要匯出版本 2026-10-15</dc:description>
  <cp:lastModifiedBy>Un-named</cp:lastModifiedBy>
  <cp:revision>1</cp:revision>
  <dcterms:created xsi:type="dcterms:W3CDTF">2026-11-05T19:10:51.615Z</dcterms:created>
  <dcterms:modified xsi:type="dcterms:W3CDTF">2026-11-05T19:10:51.615Z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