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鏈上組織如何界定權利、處理爭議與追究責任</w:t>
      </w:r>
    </w:p>
    <w:p>
      <w:pPr>
        <w:widowControl/>
        <w:spacing w:after="160" w:line="320"/>
      </w:pPr>
      <w:r>
        <w:t xml:space="preserve">Legal &amp; Governance Hub - Legal Compliance &amp; Token Rights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pjtsjhhhwkg6sfevt7hfu">
        <w:r>
          <w:rPr>
            <w:rStyle w:val="Hyperlink"/>
          </w:rPr>
          <w:t xml:space="preserve">Pree</w:t>
        </w:r>
      </w:hyperlink>
    </w:p>
    <w:p>
      <w:pPr>
        <w:widowControl/>
        <w:spacing w:after="160" w:line="320"/>
      </w:pPr>
      <w:hyperlink w:history="1" r:id="rIdb3dhmd5edcvr2fqud3htd">
        <w:r>
          <w:rPr>
            <w:rStyle w:val="Hyperlink"/>
          </w:rPr>
          <w:t xml:space="preserve">Wei Wei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鏈上組織如何協作，又由誰承擔責任，是這場討論的主軸。開場講者以成員、組織規則與公開宣告拆解協作，並區分所有權與營運是否公開。Pree 認為，去中心化自治組織（DAO）的法律討論過度集中於訴訟，應轉向如何合法運作；她也質疑現有制度能否兼顧開放參與與利潤分享。
Pree 主張明列所有權與代幣條款、公開金庫，並衡量參與者貢獻。Wei Wei 則介紹透過質押、隨機抽選與申訴程序處理爭議的鏈上仲裁，提醒裁決仍面臨執行、身分辨識及證據問題。她另以人工智慧代理人交付託管押金、交由人工智慧評判的實驗為例，指出模型選擇可能影響結果，法律效力與責任歸屬仍待釐清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luyur9pbtemr3pgbs7ti">
        <w:r>
          <w:rPr>
            <w:rStyle w:val="Hyperlink"/>
          </w:rPr>
          <w:t xml:space="preserve">[10:00]</w:t>
        </w:r>
      </w:hyperlink>
      <w:r>
        <w:t xml:space="preserve"> 營運公開不代表責任歸屬清楚
開場講者將所有權與營運透明度分開討論，指出 DAO 可能公開運作，成員身分卻不公開。他以食品造成傷害為例，說明若無法辨識公司背後的人，追究責任可能遇到障礙。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t43dzxc40xa6g0acx8v9">
        <w:r>
          <w:rPr>
            <w:rStyle w:val="Hyperlink"/>
          </w:rPr>
          <w:t xml:space="preserve">[16:20]</w:t>
        </w:r>
      </w:hyperlink>
      <w:r>
        <w:t xml:space="preserve"> 制度設計應回應鏈上協作需求
Pree 對比不同組織制度，關注開放參與、利潤分享與金庫資金用途之間的限制。她認為現有安排尚未充分滿足 DAO 的需求；這是她對制度適用性的評論，不宜視為所有 DAO 都適用的法律結論。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0omrzvvbvi8o-njm_wes">
        <w:r>
          <w:rPr>
            <w:rStyle w:val="Hyperlink"/>
          </w:rPr>
          <w:t xml:space="preserve">[17:20]</w:t>
        </w:r>
      </w:hyperlink>
      <w:r>
        <w:t xml:space="preserve"> 代幣治理應先寫清楚參與者權利
Pree 主張鏈上原生組織應明列所有權，讓合約與代幣條款透明，並公開金庫資訊。她也提出以代幣協調參與者、衡量各方貢獻的方向；這些是設計主張，而非已實現的成果。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tpisvcz-4b5qxc78kavj">
        <w:r>
          <w:rPr>
            <w:rStyle w:val="Hyperlink"/>
          </w:rPr>
          <w:t xml:space="preserve">[21:00]</w:t>
        </w:r>
      </w:hyperlink>
      <w:r>
        <w:t xml:space="preserve"> 鏈上裁決仍須面對執行問題
Wei Wei 介紹 Kleros 如何從質押代幣的參與者中隨機抽選陪審員，透過投票、獎懲與申訴程序處理爭議。她提醒，若要由國家法院執行裁決，仲裁的法律所在地與當事人身分是需要處理的問題，不能只靠程式完成。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i-dqndp21p6mpwcv3-qx">
        <w:r>
          <w:rPr>
            <w:rStyle w:val="Hyperlink"/>
          </w:rPr>
          <w:t xml:space="preserve">[23:00]</w:t>
        </w:r>
      </w:hyperlink>
      <w:r>
        <w:t xml:space="preserve"> 人工智慧評判交易爭議仍有疑問
Wei Wei 介紹一項實驗：兩個人工智慧代理人簽約並各自交付託管押金，發生爭議後由人工智慧評判。她指出，不同模型可能給出不同裁決，因此選擇模型也會影響判斷；裁決的法律效力與責任歸屬仍須釐清。</w:t>
      </w:r>
    </w:p>
    <w:p>
      <w:pPr>
        <w:widowControl/>
        <w:spacing w:after="160" w:line="320"/>
      </w:pPr>
      <w:r>
        <w:t xml:space="preserve">公共財、治理與數位權利 · 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rd4t6v4dwclcqed0urg5z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mvecbr7ne3wzvbpwhw6le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pjtsjhhhwkg6sfevt7hfu" Type="http://schemas.openxmlformats.org/officeDocument/2006/relationships/hyperlink" Target="https://feeds.blocktrend.today/events/speakers/pree/" TargetMode="External"/><Relationship Id="rIdb3dhmd5edcvr2fqud3htd" Type="http://schemas.openxmlformats.org/officeDocument/2006/relationships/hyperlink" Target="https://feeds.blocktrend.today/events/speakers/wei-wei/" TargetMode="External"/><Relationship Id="rId7luyur9pbtemr3pgbs7ti" Type="http://schemas.openxmlformats.org/officeDocument/2006/relationships/hyperlink" Target="https://www.youtube.com/watch?v=8WV1cg3qXf8&amp;t=600s" TargetMode="External"/><Relationship Id="rIdst43dzxc40xa6g0acx8v9" Type="http://schemas.openxmlformats.org/officeDocument/2006/relationships/hyperlink" Target="https://www.youtube.com/watch?v=8WV1cg3qXf8&amp;t=980s" TargetMode="External"/><Relationship Id="rIdx0omrzvvbvi8o-njm_wes" Type="http://schemas.openxmlformats.org/officeDocument/2006/relationships/hyperlink" Target="https://www.youtube.com/watch?v=8WV1cg3qXf8&amp;t=1040s" TargetMode="External"/><Relationship Id="rId9tpisvcz-4b5qxc78kavj" Type="http://schemas.openxmlformats.org/officeDocument/2006/relationships/hyperlink" Target="https://www.youtube.com/watch?v=8WV1cg3qXf8&amp;t=1260s" TargetMode="External"/><Relationship Id="rIdji-dqndp21p6mpwcv3-qx" Type="http://schemas.openxmlformats.org/officeDocument/2006/relationships/hyperlink" Target="https://www.youtube.com/watch?v=8WV1cg3qXf8&amp;t=1380s" TargetMode="External"/><Relationship Id="rIdrd4t6v4dwclcqed0urg5z" Type="http://schemas.openxmlformats.org/officeDocument/2006/relationships/hyperlink" Target="https://www.youtube.com/watch?v=8WV1cg3qXf8" TargetMode="External"/><Relationship Id="rIdmvecbr7ne3wzvbpwhw6le" Type="http://schemas.openxmlformats.org/officeDocument/2006/relationships/hyperlink" Target="https://feeds.blocktrend.today/events/devcon-8-india-2026/legal-governance-hub-legal-compliance-token-rights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鏈上組織如何界定權利、處理爭議與追究責任</dc:title>
  <dc:creator>新鮮勢</dc:creator>
  <dc:description>峰會摘要匯出版本 2026-10-15</dc:description>
  <cp:lastModifiedBy>Un-named</cp:lastModifiedBy>
  <cp:revision>1</cp:revision>
  <dcterms:created xsi:type="dcterms:W3CDTF">2026-11-05T19:10:51.916Z</dcterms:created>
  <dcterms:modified xsi:type="dcterms:W3CDTF">2026-11-05T19:10:51.916Z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