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CFTC 主席 Mike Selig：終結執法監管、Project Crypto 與開發者保護</w:t>
      </w:r>
    </w:p>
    <w:p>
      <w:pPr>
        <w:widowControl/>
        <w:spacing w:after="160" w:line="320"/>
      </w:pPr>
      <w:r>
        <w:t xml:space="preserve">Fireside: CFTC Chairman Mike Selig</w:t>
      </w:r>
    </w:p>
    <w:p>
      <w:pPr>
        <w:widowControl/>
        <w:spacing w:after="160" w:line="320"/>
      </w:pPr>
      <w:r>
        <w:t xml:space="preserve">Bitcoin 2026｜2026/04/27–04/29</w:t>
      </w:r>
    </w:p>
    <w:p>
      <w:pPr>
        <w:widowControl/>
        <w:spacing w:after="160" w:line="320"/>
      </w:pPr>
      <w:hyperlink w:history="1" r:id="rIdtpzlv-m3xko_hjhn79png">
        <w:r>
          <w:rPr>
            <w:rStyle w:val="Hyperlink"/>
          </w:rPr>
          <w:t xml:space="preserve">Michael Selig</w:t>
        </w:r>
      </w:hyperlink>
      <w:r>
        <w:t xml:space="preserve">｜美國 CFTC 主席</w:t>
      </w:r>
    </w:p>
    <w:p>
      <w:pPr>
        <w:widowControl/>
        <w:spacing w:after="160" w:line="320"/>
      </w:pPr>
      <w:hyperlink w:history="1" r:id="rIdtrkxxioq71vswzpitis5f">
        <w:r>
          <w:rPr>
            <w:rStyle w:val="Hyperlink"/>
          </w:rPr>
          <w:t xml:space="preserve">Gregory Xethalis</w:t>
        </w:r>
      </w:hyperlink>
      <w:r>
        <w:t xml:space="preserve">｜Multicoin Capital 法務長，主持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CFTC 主席 Mike Selig 分享上任百日來如何與 SEC 合作，推動加密資產分類、終結「以執法代替規範」的監管時代，並強調 Project Crypto 跨機關協作、保護軟體開發者與自我託管權利。他呼籲立法給產業明確性，讓美國持續成為全球加密資本，並邀請比特幣社群積極參與監管創新。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kozat4j6vg2qwufzemn_">
        <w:r>
          <w:rPr>
            <w:rStyle w:val="Hyperlink"/>
          </w:rPr>
          <w:t xml:space="preserve">[05:12]</w:t>
        </w:r>
      </w:hyperlink>
      <w:r>
        <w:t xml:space="preserve"> 跨機關協調已落到抵押品、保證金與資本要求。Michael Selig 表示，Project Crypto 與 SEC、CFTC 的合作備忘錄，要減少證券和商品市場的規則落差；他舉穩定幣、比特幣等加密資產作為抵押品的處理為例，說明雙方正在協調的業務規範。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kg-ma6d1vk_0qekymnfx">
        <w:r>
          <w:rPr>
            <w:rStyle w:val="Hyperlink"/>
          </w:rPr>
          <w:t xml:space="preserve">[08:15]</w:t>
        </w:r>
      </w:hyperlink>
      <w:r>
        <w:t xml:space="preserve"> 代幣銷售附帶的承諾，與代幣後續交易要分開看。Selig 說，銷售新資產時若一併出售承諾與義務，該次銷售可能受證券法規範；當資產進入市場、承諾不再附加時，他認為資產可轉在商品市場交易。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uguagxduudmo1q3qumt">
        <w:r>
          <w:rPr>
            <w:rStyle w:val="Hyperlink"/>
          </w:rPr>
          <w:t xml:space="preserve">[10:50]</w:t>
        </w:r>
      </w:hyperlink>
      <w:r>
        <w:t xml:space="preserve"> 自我託管錢包接衍生品市場，豁免仍有條件。Selig 表示，CFTC 的不採取行動立場讓符合標準的錢包軟體開發者不必註冊，使用者可自行持有資產、依交易需要在錢包與交易所間移動保證金；他把這視為加密資產抵押用途的一項機會。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8_ay-gviotrjcf1ia9qe">
        <w:r>
          <w:rPr>
            <w:rStyle w:val="Hyperlink"/>
          </w:rPr>
          <w:t xml:space="preserve">[14:46]</w:t>
        </w:r>
      </w:hyperlink>
      <w:r>
        <w:t xml:space="preserve"> 聯邦制度的訴求，是降低逐州營運與政策反轉的風險。Selig 以州級資金轉移規則、紐約對交易所的訴訟為例，主張建立聯邦執照制度；他也警告，若缺乏法定保障，這屆監理機關的作法可能遭下屆政府推翻。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mateqaswtwbpihjjw-no">
        <w:r>
          <w:rPr>
            <w:rStyle w:val="Hyperlink"/>
          </w:rPr>
          <w:t xml:space="preserve">[15:42]</w:t>
        </w:r>
      </w:hyperlink>
      <w:r>
        <w:t xml:space="preserve"> 業務碰到的阻力，可以帶進 CFTC 的創新工作小組討論。Selig 表示，小組結合產業背景人員與機關同仁，邀請開發者說明正在打造的產品及營運障礙，協助探索業務在美國落地的方式。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_gibusdc0n_rc2ircolcn">
        <w:r>
          <w:rPr>
            <w:rStyle w:val="Hyperlink"/>
          </w:rPr>
          <w:t xml:space="preserve">CFTC</w:t>
        </w:r>
      </w:hyperlink>
    </w:p>
    <w:p>
      <w:pPr>
        <w:widowControl/>
        <w:spacing w:after="160" w:line="320"/>
      </w:pPr>
      <w:r>
        <w:t xml:space="preserve">1974 年依《商品期貨交易委員會法》成立，監理美國衍生性商品市場。任務是以妥當規範促進市場完整、韌性與活力。</w:t>
      </w:r>
    </w:p>
    <w:p>
      <w:pPr>
        <w:pStyle w:val="Heading3"/>
        <w:keepNext/>
        <w:widowControl/>
        <w:spacing w:after="160" w:line="320"/>
      </w:pPr>
      <w:hyperlink w:history="1" r:id="rIdn1vwov4zf12dcn8s9pf4f">
        <w:r>
          <w:rPr>
            <w:rStyle w:val="Hyperlink"/>
          </w:rPr>
          <w:t xml:space="preserve">Multicoin Capital</w:t>
        </w:r>
      </w:hyperlink>
    </w:p>
    <w:p>
      <w:pPr>
        <w:widowControl/>
        <w:spacing w:after="160" w:line="320"/>
      </w:pPr>
      <w:r>
        <w:t xml:space="preserve">2017 年成立，替家族辦公室、基金會、大學捐贈與機構做加密公開市場與創投配置。第三檔創投基金於 2022 年 1 月募集 4.22 億美元。</w:t>
      </w:r>
    </w:p>
    <w:p>
      <w:pPr>
        <w:widowControl/>
        <w:spacing w:after="160" w:line="320"/>
      </w:pPr>
      <w:r>
        <w:t xml:space="preserve">監理 · 市場結構 · 開發者保護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qe_96xjakmqvetsgm7sw">
        <w:r>
          <w:rPr>
            <w:rStyle w:val="Hyperlink"/>
          </w:rPr>
          <w:t xml:space="preserve">Bitcoin Magazine｜影片與逐字稿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tsnecgtate08stayys81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pzlv-m3xko_hjhn79png" Type="http://schemas.openxmlformats.org/officeDocument/2006/relationships/hyperlink" Target="https://feeds.blocktrend.today/events/speakers/michael-selig/" TargetMode="External"/><Relationship Id="rIdtrkxxioq71vswzpitis5f" Type="http://schemas.openxmlformats.org/officeDocument/2006/relationships/hyperlink" Target="https://feeds.blocktrend.today/events/speakers/gregory-xethalis/" TargetMode="External"/><Relationship Id="rIdgkozat4j6vg2qwufzemn_" Type="http://schemas.openxmlformats.org/officeDocument/2006/relationships/hyperlink" Target="https://www.youtube.com/watch?v=CT5vC2zS5Qk&amp;t=312s" TargetMode="External"/><Relationship Id="rIdmkg-ma6d1vk_0qekymnfx" Type="http://schemas.openxmlformats.org/officeDocument/2006/relationships/hyperlink" Target="https://www.youtube.com/watch?v=CT5vC2zS5Qk&amp;t=495s" TargetMode="External"/><Relationship Id="rIdxnuguagxduudmo1q3qumt" Type="http://schemas.openxmlformats.org/officeDocument/2006/relationships/hyperlink" Target="https://www.youtube.com/watch?v=CT5vC2zS5Qk&amp;t=650s" TargetMode="External"/><Relationship Id="rIdw8_ay-gviotrjcf1ia9qe" Type="http://schemas.openxmlformats.org/officeDocument/2006/relationships/hyperlink" Target="https://www.youtube.com/watch?v=CT5vC2zS5Qk&amp;t=886s" TargetMode="External"/><Relationship Id="rIdumateqaswtwbpihjjw-no" Type="http://schemas.openxmlformats.org/officeDocument/2006/relationships/hyperlink" Target="https://www.youtube.com/watch?v=CT5vC2zS5Qk&amp;t=942s" TargetMode="External"/><Relationship Id="rId_gibusdc0n_rc2ircolcn" Type="http://schemas.openxmlformats.org/officeDocument/2006/relationships/hyperlink" Target="https://www.cftc.gov/About/AboutTheCommission" TargetMode="External"/><Relationship Id="rIdn1vwov4zf12dcn8s9pf4f" Type="http://schemas.openxmlformats.org/officeDocument/2006/relationships/hyperlink" Target="https://multicoin.capital/" TargetMode="External"/><Relationship Id="rIdqqe_96xjakmqvetsgm7sw" Type="http://schemas.openxmlformats.org/officeDocument/2006/relationships/hyperlink" Target="https://www.youtube.com/watch?v=CT5vC2zS5Qk" TargetMode="External"/><Relationship Id="rIdotsnecgtate08stayys81" Type="http://schemas.openxmlformats.org/officeDocument/2006/relationships/hyperlink" Target="https://feeds.blocktrend.today/events/bitcoin-2026/mike-selig-cftc-bitcoin-202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CFTC 主席 Mike Selig：終結執法監管、Project Crypto 與開發者保護</dc:title>
  <dc:creator>新鮮勢</dc:creator>
  <dc:description>峰會摘要匯出版本 2026-10-15</dc:description>
  <cp:lastModifiedBy>Un-named</cp:lastModifiedBy>
  <cp:revision>1</cp:revision>
  <dcterms:created xsi:type="dcterms:W3CDTF">2026-10-19T10:13:18.489Z</dcterms:created>
  <dcterms:modified xsi:type="dcterms:W3CDTF">2026-10-19T10:13:18.489Z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