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捷克央行總裁Aleš Michl：央行外匯存底納入比特幣的實驗</w:t>
      </w:r>
    </w:p>
    <w:p>
      <w:pPr>
        <w:widowControl/>
        <w:spacing w:after="160" w:line="320"/>
      </w:pPr>
      <w:r>
        <w:t xml:space="preserve">Diversifying Central Bank Reserves with Bitcoin</w:t>
      </w:r>
    </w:p>
    <w:p>
      <w:pPr>
        <w:widowControl/>
        <w:spacing w:after="160" w:line="320"/>
      </w:pPr>
      <w:r>
        <w:t xml:space="preserve">Bitcoin 2026｜2026/04/27–04/29</w:t>
      </w:r>
    </w:p>
    <w:p>
      <w:pPr>
        <w:widowControl/>
        <w:spacing w:after="160" w:line="320"/>
      </w:pPr>
      <w:hyperlink w:history="1" r:id="rIdisps2rldk6ylvirrprzav">
        <w:r>
          <w:rPr>
            <w:rStyle w:val="Hyperlink"/>
          </w:rPr>
          <w:t xml:space="preserve">Aleš Michl</w:t>
        </w:r>
      </w:hyperlink>
      <w:r>
        <w:t xml:space="preserve">｜捷克國家銀行總裁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捷克國家銀行總裁Aleš Michl分享央行如何在保守的貨幣政策下，積極創新管理外匯存底。他說明捷克央行如何將比特幣納入測試投資組合，並強調分散風險與提升報酬的重要性。這場演講展現了央行對新興資產的開放態度，也為全球央行帶來新的思考方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rvsiyc_ux7fgympdoioe">
        <w:r>
          <w:rPr>
            <w:rStyle w:val="Hyperlink"/>
          </w:rPr>
          <w:t xml:space="preserve">[02:02]</w:t>
        </w:r>
      </w:hyperlink>
      <w:r>
        <w:t xml:space="preserve"> 外匯存底的績效，要放回央行的計價貨幣看。Aleš Michl 表示，捷克央行管理約 1,800 億美元存底，相當於 GDP 的 44%；他展示的長期風險與報酬，全部以記帳所用的捷克克朗衡量。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pif4kf_qqtobf5emozgx">
        <w:r>
          <w:rPr>
            <w:rStyle w:val="Hyperlink"/>
          </w:rPr>
          <w:t xml:space="preserve">[02:56]</w:t>
        </w:r>
      </w:hyperlink>
      <w:r>
        <w:t xml:space="preserve"> 提高股票與黃金配置，是捷克央行已採取的分散做法。Michl 說，過去四年股票比重從 15% 增至 26%，黃金從幾乎零增至 6%；他描述新組合的預期報酬較高，風險比全股票或全債券組合低。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r5dqarc3er6b-c7oukxh">
        <w:r>
          <w:rPr>
            <w:rStyle w:val="Hyperlink"/>
          </w:rPr>
          <w:t xml:space="preserve">[05:39]</w:t>
        </w:r>
      </w:hyperlink>
      <w:r>
        <w:t xml:space="preserve"> 1% 比特幣改善的是模型組合，還不是實際存底績效。Michl 引用央行工作論文表示，加入 1% 比特幣後，以捷克克朗計算的預期報酬提高、整體風險大致不變；他將原因歸於比特幣與傳統資產較低的長期相關性。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thhtrsx0tizsaxxrjexl">
        <w:r>
          <w:rPr>
            <w:rStyle w:val="Hyperlink"/>
          </w:rPr>
          <w:t xml:space="preserve">[03:58]</w:t>
        </w:r>
      </w:hyperlink>
      <w:r>
        <w:t xml:space="preserve"> 低相關性不代表比特幣本身風險低。Michl 承認，比特幣的波動高於其他資產，也可能歸零；他因此主張評估整個投資組合，並把比特幣類比為流動性較高的創投投資。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imtjcsdkyg50scgjzlne">
        <w:r>
          <w:rPr>
            <w:rStyle w:val="Hyperlink"/>
          </w:rPr>
          <w:t xml:space="preserve">[07:22]</w:t>
        </w:r>
      </w:hyperlink>
      <w:r>
        <w:t xml:space="preserve"> 捷克央行先用獨立測試組合，累積兩年的實務結果。Michl 表示，這項比特幣配置屬於測試，將運作兩年、公布結果，再決定下一步；他沒有在這場宣布全面調整外匯存底。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akswn286hkcfnigxv21mo">
        <w:r>
          <w:rPr>
            <w:rStyle w:val="Hyperlink"/>
          </w:rPr>
          <w:t xml:space="preserve">Czech National Bank</w:t>
        </w:r>
      </w:hyperlink>
    </w:p>
    <w:p>
      <w:pPr>
        <w:widowControl/>
        <w:spacing w:after="160" w:line="320"/>
      </w:pPr>
      <w:r>
        <w:t xml:space="preserve">捷克共和國的中央銀行，也是金融市場監理與處理機關。總部在布拉格，憲法指定首要目標是維持物價穩定。</w:t>
      </w:r>
    </w:p>
    <w:p>
      <w:pPr>
        <w:widowControl/>
        <w:spacing w:after="160" w:line="320"/>
      </w:pPr>
      <w:r>
        <w:t xml:space="preserve">央行 · 比特幣 · 外匯存底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hg-bokxriv2q2w3ym1dk">
        <w:r>
          <w:rPr>
            <w:rStyle w:val="Hyperlink"/>
          </w:rPr>
          <w:t xml:space="preserve">Bitcoin Magazine｜影片與逐字稿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t6s0afyrv9mssvaiu1h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sps2rldk6ylvirrprzav" Type="http://schemas.openxmlformats.org/officeDocument/2006/relationships/hyperlink" Target="https://feeds.blocktrend.today/events/speakers/ales-michl/" TargetMode="External"/><Relationship Id="rId_rvsiyc_ux7fgympdoioe" Type="http://schemas.openxmlformats.org/officeDocument/2006/relationships/hyperlink" Target="https://www.youtube.com/watch?v=Jgg8jRGK5gk&amp;t=122s" TargetMode="External"/><Relationship Id="rIdupif4kf_qqtobf5emozgx" Type="http://schemas.openxmlformats.org/officeDocument/2006/relationships/hyperlink" Target="https://www.youtube.com/watch?v=Jgg8jRGK5gk&amp;t=176s" TargetMode="External"/><Relationship Id="rIdsr5dqarc3er6b-c7oukxh" Type="http://schemas.openxmlformats.org/officeDocument/2006/relationships/hyperlink" Target="https://www.youtube.com/watch?v=Jgg8jRGK5gk&amp;t=339s" TargetMode="External"/><Relationship Id="rIdothhtrsx0tizsaxxrjexl" Type="http://schemas.openxmlformats.org/officeDocument/2006/relationships/hyperlink" Target="https://www.youtube.com/watch?v=Jgg8jRGK5gk&amp;t=238s" TargetMode="External"/><Relationship Id="rIdiimtjcsdkyg50scgjzlne" Type="http://schemas.openxmlformats.org/officeDocument/2006/relationships/hyperlink" Target="https://www.youtube.com/watch?v=Jgg8jRGK5gk&amp;t=442s" TargetMode="External"/><Relationship Id="rIdakswn286hkcfnigxv21mo" Type="http://schemas.openxmlformats.org/officeDocument/2006/relationships/hyperlink" Target="https://www.cnb.cz/en/about_cnb/" TargetMode="External"/><Relationship Id="rId6hg-bokxriv2q2w3ym1dk" Type="http://schemas.openxmlformats.org/officeDocument/2006/relationships/hyperlink" Target="https://www.youtube.com/watch?v=Jgg8jRGK5gk" TargetMode="External"/><Relationship Id="rIddt6s0afyrv9mssvaiu1hk" Type="http://schemas.openxmlformats.org/officeDocument/2006/relationships/hyperlink" Target="https://feeds.blocktrend.today/events/bitcoin-2026/ales-michl-czech-national-bank-bitcoin-reserve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捷克央行總裁Aleš Michl：央行外匯存底納入比特幣的實驗</dc:title>
  <dc:creator>新鮮勢</dc:creator>
  <dc:description>峰會摘要匯出版本 2026-10-15</dc:description>
  <cp:lastModifiedBy>Un-named</cp:lastModifiedBy>
  <cp:revision>1</cp:revision>
  <dcterms:created xsi:type="dcterms:W3CDTF">2026-10-19T10:13:18.510Z</dcterms:created>
  <dcterms:modified xsi:type="dcterms:W3CDTF">2026-10-19T10:13:18.510Z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